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B4339C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2</w:t>
      </w:r>
      <w:r w:rsidR="002B1614">
        <w:rPr>
          <w:b/>
          <w:color w:val="FF0000"/>
          <w:sz w:val="36"/>
          <w:szCs w:val="36"/>
        </w:rPr>
        <w:t>1</w:t>
      </w:r>
      <w:r w:rsidR="00985266">
        <w:rPr>
          <w:b/>
          <w:color w:val="FF0000"/>
          <w:sz w:val="36"/>
          <w:szCs w:val="36"/>
        </w:rPr>
        <w:t>1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4923AF" w:rsidP="00985266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Spanisch Anfänger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F7299C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Mauerer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F7299C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05CA">
              <w:rPr>
                <w:sz w:val="28"/>
                <w:szCs w:val="28"/>
              </w:rPr>
              <w:t xml:space="preserve"> – </w:t>
            </w:r>
            <w:r w:rsidR="00D64A28">
              <w:rPr>
                <w:sz w:val="28"/>
                <w:szCs w:val="28"/>
              </w:rPr>
              <w:t>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70003F" w:rsidP="00F7299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bookmarkStart w:id="0" w:name="_GoBack"/>
            <w:bookmarkEnd w:id="0"/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83486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64A28" w:rsidP="00F7299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ca. 1</w:t>
            </w:r>
            <w:r w:rsidR="00F7299C">
              <w:rPr>
                <w:sz w:val="28"/>
                <w:szCs w:val="28"/>
              </w:rPr>
              <w:t>7</w:t>
            </w:r>
            <w:r w:rsidR="00B2243F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€ für </w:t>
            </w:r>
            <w:r w:rsidR="00F7299C">
              <w:rPr>
                <w:sz w:val="28"/>
                <w:szCs w:val="28"/>
              </w:rPr>
              <w:t>Arbeitsheft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E10551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Fremdsprachenwettbewerb,</w:t>
            </w:r>
          </w:p>
          <w:p w:rsidR="00E10551" w:rsidRDefault="00E10551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Besuch intern</w:t>
            </w:r>
            <w:r w:rsidR="00B2243F">
              <w:rPr>
                <w:sz w:val="28"/>
                <w:szCs w:val="28"/>
              </w:rPr>
              <w:t>ationale</w:t>
            </w:r>
            <w:r>
              <w:rPr>
                <w:sz w:val="28"/>
                <w:szCs w:val="28"/>
              </w:rPr>
              <w:t xml:space="preserve"> Kurzfilmwoche,</w:t>
            </w:r>
          </w:p>
          <w:p w:rsidR="00E10551" w:rsidRPr="00E10551" w:rsidRDefault="00E10551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evtl. Studienfahrt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4923AF" w:rsidRDefault="004923AF" w:rsidP="004923AF">
      <w:pPr>
        <w:tabs>
          <w:tab w:val="left" w:pos="4253"/>
          <w:tab w:val="left" w:pos="5103"/>
        </w:tabs>
        <w:rPr>
          <w:szCs w:val="24"/>
        </w:rPr>
      </w:pPr>
      <w:r w:rsidRPr="00805BEC">
        <w:rPr>
          <w:szCs w:val="24"/>
        </w:rPr>
        <w:t xml:space="preserve">In diesem Kurs erwerben die Schülerinnen Grundkenntnisse in der </w:t>
      </w:r>
      <w:r>
        <w:rPr>
          <w:szCs w:val="24"/>
        </w:rPr>
        <w:t xml:space="preserve">spanischen Sprache </w:t>
      </w:r>
      <w:r w:rsidRPr="00805BEC">
        <w:rPr>
          <w:szCs w:val="24"/>
        </w:rPr>
        <w:t>und lernen sich somit in Alltagssituationen in d</w:t>
      </w:r>
      <w:r w:rsidR="00AC5818">
        <w:rPr>
          <w:szCs w:val="24"/>
        </w:rPr>
        <w:t>ies</w:t>
      </w:r>
      <w:r w:rsidRPr="00805BEC">
        <w:rPr>
          <w:szCs w:val="24"/>
        </w:rPr>
        <w:t>er Fremdsprache zu verständigen. Auf möglichst abwechslungsreiche und lebendige Weise (Arbeit m. spanischen Liedern/Telenovelas, Tapas-Essen, Kontakt mit Muttersprachlern, usw.) sollen die Teilnehmerinnen mit den Besonderhe</w:t>
      </w:r>
      <w:r w:rsidRPr="00805BEC">
        <w:rPr>
          <w:szCs w:val="24"/>
        </w:rPr>
        <w:t>i</w:t>
      </w:r>
      <w:r w:rsidRPr="00805BEC">
        <w:rPr>
          <w:szCs w:val="24"/>
        </w:rPr>
        <w:t xml:space="preserve">ten des spanischen und </w:t>
      </w:r>
      <w:proofErr w:type="spellStart"/>
      <w:r w:rsidRPr="00805BEC">
        <w:rPr>
          <w:szCs w:val="24"/>
        </w:rPr>
        <w:t>hispano</w:t>
      </w:r>
      <w:proofErr w:type="spellEnd"/>
      <w:r w:rsidR="00E10551">
        <w:rPr>
          <w:szCs w:val="24"/>
        </w:rPr>
        <w:t>-</w:t>
      </w:r>
      <w:r w:rsidRPr="00805BEC">
        <w:rPr>
          <w:szCs w:val="24"/>
        </w:rPr>
        <w:t xml:space="preserve">amerikanischen Kulturraumes bekannt gemacht werden und auf diese Weise Freude an der spanischen Sprache und Kultur gewinnen.  </w:t>
      </w:r>
    </w:p>
    <w:p w:rsidR="004923AF" w:rsidRDefault="004923AF" w:rsidP="004923AF">
      <w:pPr>
        <w:tabs>
          <w:tab w:val="left" w:pos="4253"/>
          <w:tab w:val="left" w:pos="5103"/>
        </w:tabs>
        <w:rPr>
          <w:szCs w:val="24"/>
        </w:rPr>
      </w:pPr>
    </w:p>
    <w:p w:rsidR="004923AF" w:rsidRPr="00805BEC" w:rsidRDefault="004923AF" w:rsidP="004923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Cs w:val="24"/>
        </w:rPr>
      </w:pPr>
      <w:r>
        <w:rPr>
          <w:szCs w:val="24"/>
        </w:rPr>
        <w:t xml:space="preserve">Einige Hintergrundinformationen zu Spanisch: </w:t>
      </w:r>
    </w:p>
    <w:p w:rsidR="004923AF" w:rsidRPr="00834860" w:rsidRDefault="004923AF" w:rsidP="00834860">
      <w:pPr>
        <w:pStyle w:val="Listenabsatz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4"/>
        </w:rPr>
      </w:pPr>
      <w:r w:rsidRPr="00834860">
        <w:rPr>
          <w:szCs w:val="24"/>
        </w:rPr>
        <w:t xml:space="preserve">Spanisch ist mit aktuell ca. 420 Millionen Sprechern eine der meistgesprochenen und wichtigsten Sprachen weltweit. </w:t>
      </w:r>
      <w:r w:rsidRPr="00834860">
        <w:rPr>
          <w:rFonts w:ascii="Times" w:hAnsi="Times" w:cs="Times"/>
          <w:bCs/>
          <w:szCs w:val="24"/>
        </w:rPr>
        <w:t>Spanisch</w:t>
      </w:r>
      <w:r w:rsidRPr="00834860">
        <w:rPr>
          <w:rFonts w:ascii="Times" w:hAnsi="Times" w:cs="Times"/>
          <w:szCs w:val="24"/>
        </w:rPr>
        <w:t xml:space="preserve"> ist nach Englisch die am meisten verwendete Sprache in der internationalen Kommunikation. </w:t>
      </w:r>
      <w:r w:rsidRPr="00834860">
        <w:rPr>
          <w:rFonts w:ascii="Times" w:hAnsi="Times" w:cs="Times"/>
          <w:bCs/>
          <w:szCs w:val="24"/>
        </w:rPr>
        <w:t>Spanisch</w:t>
      </w:r>
      <w:r w:rsidRPr="00834860">
        <w:rPr>
          <w:rFonts w:ascii="Times" w:hAnsi="Times" w:cs="Times"/>
          <w:szCs w:val="24"/>
        </w:rPr>
        <w:t xml:space="preserve"> ist außerdem die offizielle Spr</w:t>
      </w:r>
      <w:r w:rsidRPr="00834860">
        <w:rPr>
          <w:rFonts w:ascii="Times" w:hAnsi="Times" w:cs="Times"/>
          <w:szCs w:val="24"/>
        </w:rPr>
        <w:t>a</w:t>
      </w:r>
      <w:r w:rsidRPr="00834860">
        <w:rPr>
          <w:rFonts w:ascii="Times" w:hAnsi="Times" w:cs="Times"/>
          <w:szCs w:val="24"/>
        </w:rPr>
        <w:t>che in 21 Ländern in Amerika, Europa und Afrika.</w:t>
      </w:r>
      <w:r w:rsidRPr="00834860">
        <w:rPr>
          <w:rFonts w:ascii="Times" w:hAnsi="Times" w:cs="Times"/>
          <w:sz w:val="32"/>
          <w:szCs w:val="32"/>
        </w:rPr>
        <w:t xml:space="preserve"> </w:t>
      </w:r>
    </w:p>
    <w:p w:rsidR="004923AF" w:rsidRPr="00834860" w:rsidRDefault="004923AF" w:rsidP="00834860">
      <w:pPr>
        <w:pStyle w:val="Listenabsatz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="Times" w:hAnsi="Times" w:cs="Times"/>
          <w:szCs w:val="24"/>
        </w:rPr>
      </w:pPr>
      <w:r w:rsidRPr="00834860">
        <w:rPr>
          <w:rFonts w:ascii="Times" w:hAnsi="Times" w:cs="Times"/>
          <w:szCs w:val="24"/>
        </w:rPr>
        <w:t xml:space="preserve">Die spanische Sprache ist dem </w:t>
      </w:r>
      <w:hyperlink r:id="rId6" w:history="1">
        <w:r w:rsidRPr="00834860">
          <w:rPr>
            <w:rFonts w:ascii="Times" w:hAnsi="Times" w:cs="Times"/>
            <w:szCs w:val="24"/>
          </w:rPr>
          <w:t>Portugiesischen</w:t>
        </w:r>
      </w:hyperlink>
      <w:r w:rsidRPr="00834860">
        <w:rPr>
          <w:rFonts w:ascii="Times" w:hAnsi="Times" w:cs="Times"/>
          <w:szCs w:val="24"/>
        </w:rPr>
        <w:t xml:space="preserve"> und Italienischen sehr ähnlich, aber auch Vorkenntnisse in Französisch und Latein helfen beim Erlernen der Sprache. </w:t>
      </w:r>
    </w:p>
    <w:p w:rsidR="004923AF" w:rsidRPr="00805BEC" w:rsidRDefault="004923AF" w:rsidP="004923AF">
      <w:pPr>
        <w:tabs>
          <w:tab w:val="left" w:pos="4253"/>
          <w:tab w:val="left" w:pos="5103"/>
        </w:tabs>
        <w:rPr>
          <w:szCs w:val="24"/>
        </w:rPr>
      </w:pPr>
    </w:p>
    <w:p w:rsidR="004923AF" w:rsidRPr="00805BEC" w:rsidRDefault="004923AF" w:rsidP="004923AF">
      <w:pPr>
        <w:tabs>
          <w:tab w:val="left" w:pos="4253"/>
          <w:tab w:val="left" w:pos="5103"/>
        </w:tabs>
        <w:rPr>
          <w:szCs w:val="24"/>
        </w:rPr>
      </w:pPr>
    </w:p>
    <w:p w:rsidR="004923AF" w:rsidRPr="00805BEC" w:rsidRDefault="004923AF" w:rsidP="004923AF">
      <w:pPr>
        <w:tabs>
          <w:tab w:val="left" w:pos="4253"/>
          <w:tab w:val="left" w:pos="5103"/>
        </w:tabs>
        <w:rPr>
          <w:szCs w:val="24"/>
        </w:rPr>
      </w:pPr>
      <w:r w:rsidRPr="00805BEC">
        <w:rPr>
          <w:szCs w:val="24"/>
          <w:u w:val="single"/>
        </w:rPr>
        <w:t>Geplante Exkursionen/Auftritte</w:t>
      </w:r>
      <w:r w:rsidRPr="00805BEC">
        <w:rPr>
          <w:szCs w:val="24"/>
        </w:rPr>
        <w:t>:</w:t>
      </w:r>
      <w:r w:rsidRPr="00805BEC">
        <w:rPr>
          <w:szCs w:val="24"/>
        </w:rPr>
        <w:tab/>
      </w:r>
    </w:p>
    <w:p w:rsidR="004923AF" w:rsidRPr="00805BEC" w:rsidRDefault="00476CE2" w:rsidP="00834860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Cs w:val="24"/>
        </w:rPr>
      </w:pPr>
      <w:r>
        <w:rPr>
          <w:szCs w:val="24"/>
        </w:rPr>
        <w:t xml:space="preserve">Teilnahme am </w:t>
      </w:r>
      <w:r w:rsidR="004923AF" w:rsidRPr="00805BEC">
        <w:rPr>
          <w:szCs w:val="24"/>
        </w:rPr>
        <w:t xml:space="preserve">Fremdsprachenwettbewerb </w:t>
      </w:r>
      <w:proofErr w:type="spellStart"/>
      <w:r w:rsidR="004923AF" w:rsidRPr="00805BEC">
        <w:rPr>
          <w:i/>
          <w:szCs w:val="24"/>
        </w:rPr>
        <w:t>Español</w:t>
      </w:r>
      <w:proofErr w:type="spellEnd"/>
      <w:r w:rsidR="004923AF" w:rsidRPr="00805BEC">
        <w:rPr>
          <w:i/>
          <w:szCs w:val="24"/>
        </w:rPr>
        <w:t xml:space="preserve"> </w:t>
      </w:r>
      <w:proofErr w:type="spellStart"/>
      <w:r w:rsidR="004923AF" w:rsidRPr="00805BEC">
        <w:rPr>
          <w:i/>
          <w:szCs w:val="24"/>
        </w:rPr>
        <w:t>móvil</w:t>
      </w:r>
      <w:proofErr w:type="spellEnd"/>
      <w:r w:rsidR="004923AF" w:rsidRPr="00805BEC">
        <w:rPr>
          <w:i/>
          <w:szCs w:val="24"/>
        </w:rPr>
        <w:t xml:space="preserve"> </w:t>
      </w:r>
    </w:p>
    <w:p w:rsidR="004923AF" w:rsidRPr="00805BEC" w:rsidRDefault="0043116F" w:rsidP="00834860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Cs w:val="24"/>
        </w:rPr>
      </w:pPr>
      <w:r>
        <w:rPr>
          <w:szCs w:val="24"/>
        </w:rPr>
        <w:t xml:space="preserve">Besuch des </w:t>
      </w:r>
      <w:proofErr w:type="spellStart"/>
      <w:r>
        <w:rPr>
          <w:szCs w:val="24"/>
        </w:rPr>
        <w:t>CinEScultura</w:t>
      </w:r>
      <w:proofErr w:type="spellEnd"/>
      <w:r>
        <w:rPr>
          <w:szCs w:val="24"/>
        </w:rPr>
        <w:t>/</w:t>
      </w:r>
      <w:r w:rsidR="004923AF" w:rsidRPr="00805BEC">
        <w:rPr>
          <w:szCs w:val="24"/>
        </w:rPr>
        <w:t>der internationalen Kurzfilmwoche</w:t>
      </w:r>
    </w:p>
    <w:p w:rsidR="004923AF" w:rsidRPr="00805BEC" w:rsidRDefault="004923AF" w:rsidP="00834860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Cs w:val="24"/>
        </w:rPr>
      </w:pPr>
      <w:r w:rsidRPr="00805BEC">
        <w:rPr>
          <w:szCs w:val="24"/>
        </w:rPr>
        <w:t>Schnupperstunde Spanisch am Tag der offenen Tür des St. Marien-Gymnasiums</w:t>
      </w:r>
    </w:p>
    <w:p w:rsidR="004923AF" w:rsidRPr="00805BEC" w:rsidRDefault="004923AF" w:rsidP="00834860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Cs w:val="24"/>
        </w:rPr>
      </w:pPr>
      <w:r w:rsidRPr="00805BEC">
        <w:rPr>
          <w:szCs w:val="24"/>
        </w:rPr>
        <w:t xml:space="preserve">evtl. Studienfahrt ins spanischsprachige </w:t>
      </w:r>
      <w:r w:rsidR="00697316">
        <w:rPr>
          <w:szCs w:val="24"/>
        </w:rPr>
        <w:t>Ausland in den Pfingstferien 2021</w:t>
      </w:r>
    </w:p>
    <w:sectPr w:rsidR="004923AF" w:rsidRPr="00805BEC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3236"/>
    <w:multiLevelType w:val="hybridMultilevel"/>
    <w:tmpl w:val="827A13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5937CA"/>
    <w:multiLevelType w:val="hybridMultilevel"/>
    <w:tmpl w:val="EB687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1147E8"/>
    <w:rsid w:val="00232810"/>
    <w:rsid w:val="002602B4"/>
    <w:rsid w:val="002B1614"/>
    <w:rsid w:val="003128D9"/>
    <w:rsid w:val="0043116F"/>
    <w:rsid w:val="00453288"/>
    <w:rsid w:val="00476CE2"/>
    <w:rsid w:val="004923AF"/>
    <w:rsid w:val="004A2887"/>
    <w:rsid w:val="00671500"/>
    <w:rsid w:val="00697316"/>
    <w:rsid w:val="006A4BC5"/>
    <w:rsid w:val="0070003F"/>
    <w:rsid w:val="00741338"/>
    <w:rsid w:val="00773FCE"/>
    <w:rsid w:val="00781ABF"/>
    <w:rsid w:val="00834860"/>
    <w:rsid w:val="00947698"/>
    <w:rsid w:val="00985266"/>
    <w:rsid w:val="00AA066A"/>
    <w:rsid w:val="00AC05CA"/>
    <w:rsid w:val="00AC5818"/>
    <w:rsid w:val="00B2243F"/>
    <w:rsid w:val="00B4339C"/>
    <w:rsid w:val="00B51908"/>
    <w:rsid w:val="00B607F9"/>
    <w:rsid w:val="00B7702A"/>
    <w:rsid w:val="00C15D7B"/>
    <w:rsid w:val="00C438F7"/>
    <w:rsid w:val="00C90FDE"/>
    <w:rsid w:val="00CC0481"/>
    <w:rsid w:val="00CD3401"/>
    <w:rsid w:val="00D64A28"/>
    <w:rsid w:val="00D924F2"/>
    <w:rsid w:val="00DD5F23"/>
    <w:rsid w:val="00E10551"/>
    <w:rsid w:val="00E45178"/>
    <w:rsid w:val="00E465A9"/>
    <w:rsid w:val="00E5384A"/>
    <w:rsid w:val="00EC7A17"/>
    <w:rsid w:val="00F7299C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tsprachen.net/weltsprache-portugiesis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3</cp:revision>
  <cp:lastPrinted>2020-05-12T06:20:00Z</cp:lastPrinted>
  <dcterms:created xsi:type="dcterms:W3CDTF">2020-05-12T06:23:00Z</dcterms:created>
  <dcterms:modified xsi:type="dcterms:W3CDTF">2020-05-14T07:43:00Z</dcterms:modified>
</cp:coreProperties>
</file>