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10" w:rsidRPr="00232810" w:rsidRDefault="005D1123" w:rsidP="00FA324F">
      <w:pPr>
        <w:tabs>
          <w:tab w:val="left" w:pos="5103"/>
        </w:tabs>
        <w:jc w:val="right"/>
        <w:rPr>
          <w:sz w:val="28"/>
          <w:szCs w:val="28"/>
        </w:rPr>
      </w:pPr>
      <w:r>
        <w:rPr>
          <w:rFonts w:cs="Times New Roman"/>
          <w:b/>
          <w:color w:val="FF0000"/>
          <w:sz w:val="36"/>
          <w:szCs w:val="36"/>
        </w:rPr>
        <w:t>70</w:t>
      </w:r>
      <w:r w:rsidR="00006109">
        <w:rPr>
          <w:rFonts w:cs="Times New Roman"/>
          <w:b/>
          <w:color w:val="FF0000"/>
          <w:sz w:val="36"/>
          <w:szCs w:val="36"/>
        </w:rPr>
        <w:t>5</w:t>
      </w:r>
    </w:p>
    <w:tbl>
      <w:tblPr>
        <w:tblStyle w:val="Tabellenraster"/>
        <w:tblW w:w="9502" w:type="dxa"/>
        <w:tblLook w:val="04A0" w:firstRow="1" w:lastRow="0" w:firstColumn="1" w:lastColumn="0" w:noHBand="0" w:noVBand="1"/>
      </w:tblPr>
      <w:tblGrid>
        <w:gridCol w:w="4361"/>
        <w:gridCol w:w="5141"/>
      </w:tblGrid>
      <w:tr w:rsidR="00E5384A" w:rsidTr="00B51908">
        <w:trPr>
          <w:trHeight w:val="737"/>
        </w:trPr>
        <w:tc>
          <w:tcPr>
            <w:tcW w:w="4361" w:type="dxa"/>
            <w:vAlign w:val="center"/>
          </w:tcPr>
          <w:p w:rsidR="00E5384A" w:rsidRDefault="00E5384A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Name des Wahlfaches</w:t>
            </w:r>
          </w:p>
        </w:tc>
        <w:tc>
          <w:tcPr>
            <w:tcW w:w="5141" w:type="dxa"/>
            <w:vAlign w:val="center"/>
          </w:tcPr>
          <w:p w:rsidR="00206A2D" w:rsidRDefault="003F329C" w:rsidP="005D11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Lernen </w:t>
            </w:r>
            <w:proofErr w:type="spellStart"/>
            <w:r>
              <w:rPr>
                <w:rFonts w:cs="Times New Roman"/>
                <w:sz w:val="28"/>
                <w:szCs w:val="28"/>
              </w:rPr>
              <w:t>lernen</w:t>
            </w:r>
            <w:proofErr w:type="spellEnd"/>
            <w:r w:rsidR="00275F43">
              <w:rPr>
                <w:rFonts w:cs="Times New Roman"/>
                <w:sz w:val="28"/>
                <w:szCs w:val="28"/>
              </w:rPr>
              <w:t xml:space="preserve"> und Lerncoaching</w:t>
            </w:r>
          </w:p>
        </w:tc>
      </w:tr>
      <w:tr w:rsidR="00FA04E5" w:rsidRPr="00B51908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Kursleitung</w:t>
            </w:r>
          </w:p>
        </w:tc>
        <w:tc>
          <w:tcPr>
            <w:tcW w:w="5141" w:type="dxa"/>
            <w:vAlign w:val="center"/>
          </w:tcPr>
          <w:p w:rsidR="00FA04E5" w:rsidRDefault="001A0445" w:rsidP="00042D80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Isolde </w:t>
            </w:r>
            <w:r w:rsidR="00042D80">
              <w:rPr>
                <w:sz w:val="28"/>
                <w:szCs w:val="28"/>
              </w:rPr>
              <w:t>von Schöning</w:t>
            </w:r>
            <w:bookmarkStart w:id="0" w:name="_GoBack"/>
            <w:bookmarkEnd w:id="0"/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Angebot für Jahrgangsstufen</w:t>
            </w:r>
          </w:p>
        </w:tc>
        <w:tc>
          <w:tcPr>
            <w:tcW w:w="5141" w:type="dxa"/>
            <w:vAlign w:val="center"/>
          </w:tcPr>
          <w:p w:rsidR="00D924F2" w:rsidRDefault="001A044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C04D1">
              <w:rPr>
                <w:sz w:val="28"/>
                <w:szCs w:val="28"/>
              </w:rPr>
              <w:t xml:space="preserve"> – 7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Teilnehmerbegrenzung</w:t>
            </w:r>
          </w:p>
        </w:tc>
        <w:tc>
          <w:tcPr>
            <w:tcW w:w="5141" w:type="dxa"/>
            <w:vAlign w:val="center"/>
          </w:tcPr>
          <w:p w:rsidR="00FA04E5" w:rsidRDefault="00DC04D1" w:rsidP="00213AE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453288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 xml:space="preserve">Stundenumfang </w:t>
            </w:r>
          </w:p>
        </w:tc>
        <w:tc>
          <w:tcPr>
            <w:tcW w:w="5141" w:type="dxa"/>
            <w:vAlign w:val="center"/>
          </w:tcPr>
          <w:p w:rsidR="00FA04E5" w:rsidRDefault="00DC04D1" w:rsidP="00C90FDE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444A">
              <w:rPr>
                <w:sz w:val="28"/>
                <w:szCs w:val="28"/>
              </w:rPr>
              <w:t xml:space="preserve"> Std. wöchentlich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FA04E5" w:rsidRDefault="00FA04E5" w:rsidP="00030500">
            <w:pPr>
              <w:tabs>
                <w:tab w:val="left" w:pos="5103"/>
              </w:tabs>
              <w:rPr>
                <w:sz w:val="28"/>
                <w:szCs w:val="28"/>
              </w:rPr>
            </w:pPr>
            <w:r w:rsidRPr="00232810">
              <w:rPr>
                <w:sz w:val="28"/>
                <w:szCs w:val="28"/>
              </w:rPr>
              <w:t>Material</w:t>
            </w:r>
            <w:r>
              <w:rPr>
                <w:sz w:val="28"/>
                <w:szCs w:val="28"/>
              </w:rPr>
              <w:t xml:space="preserve">, Kosten, </w:t>
            </w:r>
            <w:r>
              <w:rPr>
                <w:sz w:val="28"/>
                <w:szCs w:val="28"/>
              </w:rPr>
              <w:br/>
              <w:t>weitere Anmerkungen</w:t>
            </w:r>
          </w:p>
        </w:tc>
        <w:tc>
          <w:tcPr>
            <w:tcW w:w="5141" w:type="dxa"/>
            <w:vAlign w:val="center"/>
          </w:tcPr>
          <w:p w:rsidR="00FA04E5" w:rsidRDefault="0001444A" w:rsidP="00232810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FA04E5" w:rsidTr="00B51908">
        <w:trPr>
          <w:trHeight w:val="737"/>
        </w:trPr>
        <w:tc>
          <w:tcPr>
            <w:tcW w:w="4361" w:type="dxa"/>
            <w:vAlign w:val="center"/>
          </w:tcPr>
          <w:p w:rsidR="004A2887" w:rsidRDefault="004A2887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Besonderheiten:</w:t>
            </w:r>
          </w:p>
          <w:p w:rsidR="00FA04E5" w:rsidRDefault="004A2887" w:rsidP="00DD5F23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z. B. </w:t>
            </w:r>
            <w:r w:rsidR="00FA04E5">
              <w:rPr>
                <w:sz w:val="28"/>
                <w:szCs w:val="28"/>
              </w:rPr>
              <w:t>Exkursionen, Studientage, Wettkämpfe, Auftritte</w:t>
            </w:r>
            <w:r w:rsidR="00B607F9">
              <w:rPr>
                <w:sz w:val="28"/>
                <w:szCs w:val="28"/>
              </w:rPr>
              <w:t xml:space="preserve"> etc.</w:t>
            </w:r>
          </w:p>
        </w:tc>
        <w:tc>
          <w:tcPr>
            <w:tcW w:w="5141" w:type="dxa"/>
            <w:vAlign w:val="center"/>
          </w:tcPr>
          <w:p w:rsidR="00FA04E5" w:rsidRDefault="0001444A" w:rsidP="0001444A">
            <w:pPr>
              <w:tabs>
                <w:tab w:val="left" w:pos="4253"/>
                <w:tab w:val="left" w:pos="5103"/>
              </w:tabs>
              <w:ind w:right="-2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</w:tbl>
    <w:p w:rsidR="00232810" w:rsidRPr="00232810" w:rsidRDefault="00232810" w:rsidP="00232810">
      <w:pPr>
        <w:tabs>
          <w:tab w:val="left" w:pos="5103"/>
        </w:tabs>
        <w:rPr>
          <w:sz w:val="28"/>
          <w:szCs w:val="28"/>
        </w:rPr>
      </w:pPr>
    </w:p>
    <w:p w:rsidR="006A4BC5" w:rsidRDefault="006A4BC5" w:rsidP="00232810">
      <w:pPr>
        <w:tabs>
          <w:tab w:val="left" w:pos="4253"/>
          <w:tab w:val="left" w:pos="5103"/>
        </w:tabs>
        <w:rPr>
          <w:b/>
          <w:sz w:val="28"/>
          <w:szCs w:val="28"/>
        </w:rPr>
      </w:pPr>
    </w:p>
    <w:p w:rsidR="00232810" w:rsidRPr="00E465A9" w:rsidRDefault="004A2887" w:rsidP="00232810">
      <w:pPr>
        <w:tabs>
          <w:tab w:val="left" w:pos="4253"/>
          <w:tab w:val="left" w:pos="5103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Inhalt und Ziele des Wahlfaches:</w:t>
      </w:r>
    </w:p>
    <w:p w:rsidR="00232810" w:rsidRDefault="00232810" w:rsidP="00232810">
      <w:pPr>
        <w:tabs>
          <w:tab w:val="left" w:pos="4253"/>
          <w:tab w:val="left" w:pos="5103"/>
        </w:tabs>
        <w:rPr>
          <w:sz w:val="28"/>
          <w:szCs w:val="28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A0445" w:rsidRPr="00330804" w:rsidTr="0001444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23" w:rsidRDefault="005D1123" w:rsidP="007F3CC7">
            <w:pPr>
              <w:rPr>
                <w:rFonts w:cs="Times New Roman"/>
                <w:szCs w:val="24"/>
              </w:rPr>
            </w:pPr>
          </w:p>
          <w:p w:rsidR="001A0445" w:rsidRDefault="001A0445" w:rsidP="007F3CC7">
            <w:pPr>
              <w:rPr>
                <w:rFonts w:cs="Times New Roman"/>
                <w:szCs w:val="24"/>
              </w:rPr>
            </w:pPr>
            <w:r w:rsidRPr="00330804">
              <w:rPr>
                <w:rFonts w:cs="Times New Roman"/>
                <w:szCs w:val="24"/>
              </w:rPr>
              <w:t xml:space="preserve">Es ändert sich viel, wenn eine Schülerin von der Grundschule </w:t>
            </w:r>
            <w:r w:rsidR="00CA62CB">
              <w:rPr>
                <w:rFonts w:cs="Times New Roman"/>
                <w:szCs w:val="24"/>
              </w:rPr>
              <w:t>in eine weiterführende Schule</w:t>
            </w:r>
            <w:r w:rsidRPr="00330804">
              <w:rPr>
                <w:rFonts w:cs="Times New Roman"/>
                <w:szCs w:val="24"/>
              </w:rPr>
              <w:t xml:space="preserve"> wechselt: Es gibt mehr und andere Fächer; der Schulweg wird oft länger, es gibt plötzlich für fast jedes Fach einen anderen Lehrer. Vieles ist also neu und an all das gewöhnt sich die Sch</w:t>
            </w:r>
            <w:r w:rsidRPr="00330804">
              <w:rPr>
                <w:rFonts w:cs="Times New Roman"/>
                <w:szCs w:val="24"/>
              </w:rPr>
              <w:t>ü</w:t>
            </w:r>
            <w:r w:rsidRPr="00330804">
              <w:rPr>
                <w:rFonts w:cs="Times New Roman"/>
                <w:szCs w:val="24"/>
              </w:rPr>
              <w:t>lerin meist recht schnell. Etwas langsamer geht es, wenn sie ihr Lernverhalten umstellen muss, denn es gibt jetzt nicht nur Proben, sondern Schulaufgaben, Stegreifaufgaben, Rechenschaftsa</w:t>
            </w:r>
            <w:r w:rsidRPr="00330804">
              <w:rPr>
                <w:rFonts w:cs="Times New Roman"/>
                <w:szCs w:val="24"/>
              </w:rPr>
              <w:t>b</w:t>
            </w:r>
            <w:r w:rsidRPr="00330804">
              <w:rPr>
                <w:rFonts w:cs="Times New Roman"/>
                <w:szCs w:val="24"/>
              </w:rPr>
              <w:t xml:space="preserve">lagen und manchmal auch Tests. Auch die Hausaufgaben werden umfangreicher. </w:t>
            </w:r>
          </w:p>
          <w:p w:rsidR="005D1123" w:rsidRPr="00330804" w:rsidRDefault="005D1123" w:rsidP="007F3CC7">
            <w:pPr>
              <w:rPr>
                <w:rFonts w:cs="Times New Roman"/>
                <w:szCs w:val="24"/>
              </w:rPr>
            </w:pPr>
          </w:p>
          <w:p w:rsidR="001A0445" w:rsidRDefault="001A0445" w:rsidP="007F3CC7">
            <w:pPr>
              <w:rPr>
                <w:rFonts w:cs="Times New Roman"/>
                <w:szCs w:val="24"/>
              </w:rPr>
            </w:pPr>
            <w:r w:rsidRPr="00330804">
              <w:rPr>
                <w:rFonts w:cs="Times New Roman"/>
                <w:szCs w:val="24"/>
              </w:rPr>
              <w:t>Wie man das alles so organisiert, dass das Lernen leicht von der Hand geht, lernen die Schül</w:t>
            </w:r>
            <w:r w:rsidRPr="00330804">
              <w:rPr>
                <w:rFonts w:cs="Times New Roman"/>
                <w:szCs w:val="24"/>
              </w:rPr>
              <w:t>e</w:t>
            </w:r>
            <w:r w:rsidRPr="00330804">
              <w:rPr>
                <w:rFonts w:cs="Times New Roman"/>
                <w:szCs w:val="24"/>
              </w:rPr>
              <w:t xml:space="preserve">rinnen im Wahlunterricht „Lernen </w:t>
            </w:r>
            <w:proofErr w:type="spellStart"/>
            <w:r w:rsidRPr="00330804">
              <w:rPr>
                <w:rFonts w:cs="Times New Roman"/>
                <w:szCs w:val="24"/>
              </w:rPr>
              <w:t>lernen</w:t>
            </w:r>
            <w:proofErr w:type="spellEnd"/>
            <w:r w:rsidRPr="00330804">
              <w:rPr>
                <w:rFonts w:cs="Times New Roman"/>
                <w:szCs w:val="24"/>
              </w:rPr>
              <w:t>“: Ein Arbeitsplan für die Hausaufgaben und für die Schulaufgabenvorbereitung, Ordnung am Schreibtisch oder die unterschiedlichsten Techniken, Inhalte so zu erfassen, dass sie auch langfristig im Gedächtnis bleiben – das sind nur drei von vielen Themenbereichen, mit denen sich die Schülerinnen beschäftigen. Dabei erfahren die Schülerinnen nicht nur, wie es geht, sie üben das Gelernt</w:t>
            </w:r>
            <w:r w:rsidR="003F4D02">
              <w:rPr>
                <w:rFonts w:cs="Times New Roman"/>
                <w:szCs w:val="24"/>
              </w:rPr>
              <w:t>e</w:t>
            </w:r>
            <w:r w:rsidRPr="00330804">
              <w:rPr>
                <w:rFonts w:cs="Times New Roman"/>
                <w:szCs w:val="24"/>
              </w:rPr>
              <w:t xml:space="preserve"> auch ein und überprüfen die Tipps auf ihre Alltagstauglichkeit.</w:t>
            </w:r>
          </w:p>
          <w:p w:rsidR="001A0445" w:rsidRPr="00330804" w:rsidRDefault="001A0445" w:rsidP="007F3CC7">
            <w:pPr>
              <w:rPr>
                <w:rFonts w:cs="Times New Roman"/>
                <w:szCs w:val="24"/>
              </w:rPr>
            </w:pPr>
          </w:p>
          <w:p w:rsidR="001A0445" w:rsidRPr="00DC04D1" w:rsidRDefault="001A0445" w:rsidP="00DC04D1">
            <w:pPr>
              <w:rPr>
                <w:rFonts w:cs="Times New Roman"/>
                <w:szCs w:val="24"/>
              </w:rPr>
            </w:pPr>
            <w:r w:rsidRPr="00330804">
              <w:rPr>
                <w:rFonts w:cs="Times New Roman"/>
                <w:szCs w:val="24"/>
              </w:rPr>
              <w:t xml:space="preserve">Ein Schwerpunkt wird auch das Sprachlerntraining sein: Erweiterung des Wortschatzes, die Unterscheidung zwischen mündlicher und schriftlicher Kommunikation oder Erlernen von Techniken, </w:t>
            </w:r>
            <w:r w:rsidR="00EB27FA">
              <w:rPr>
                <w:rFonts w:cs="Times New Roman"/>
                <w:szCs w:val="24"/>
              </w:rPr>
              <w:t xml:space="preserve">die </w:t>
            </w:r>
            <w:r w:rsidRPr="00330804">
              <w:rPr>
                <w:rFonts w:cs="Times New Roman"/>
                <w:szCs w:val="24"/>
              </w:rPr>
              <w:t>die Sprachkompetenz erweitern, sind hier die zentralen Themen.</w:t>
            </w:r>
          </w:p>
        </w:tc>
      </w:tr>
    </w:tbl>
    <w:p w:rsidR="00E465A9" w:rsidRDefault="00E465A9" w:rsidP="00232810">
      <w:pPr>
        <w:tabs>
          <w:tab w:val="left" w:pos="4253"/>
          <w:tab w:val="left" w:pos="5103"/>
        </w:tabs>
        <w:rPr>
          <w:sz w:val="28"/>
          <w:szCs w:val="28"/>
        </w:rPr>
      </w:pPr>
    </w:p>
    <w:sectPr w:rsidR="00E465A9" w:rsidSect="005D112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3080"/>
    <w:multiLevelType w:val="hybridMultilevel"/>
    <w:tmpl w:val="BADADF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427EC"/>
    <w:multiLevelType w:val="hybridMultilevel"/>
    <w:tmpl w:val="9782C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86669"/>
    <w:multiLevelType w:val="hybridMultilevel"/>
    <w:tmpl w:val="20941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B075C"/>
    <w:multiLevelType w:val="hybridMultilevel"/>
    <w:tmpl w:val="E4E24774"/>
    <w:lvl w:ilvl="0" w:tplc="4120F6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10"/>
    <w:rsid w:val="00006109"/>
    <w:rsid w:val="0001444A"/>
    <w:rsid w:val="00030500"/>
    <w:rsid w:val="00042D80"/>
    <w:rsid w:val="001147E8"/>
    <w:rsid w:val="00142FD4"/>
    <w:rsid w:val="00156CA0"/>
    <w:rsid w:val="00195FB1"/>
    <w:rsid w:val="001A0445"/>
    <w:rsid w:val="00206A2D"/>
    <w:rsid w:val="00232810"/>
    <w:rsid w:val="002728F5"/>
    <w:rsid w:val="00275F43"/>
    <w:rsid w:val="002B790C"/>
    <w:rsid w:val="003128D9"/>
    <w:rsid w:val="00322C88"/>
    <w:rsid w:val="003F329C"/>
    <w:rsid w:val="003F4D02"/>
    <w:rsid w:val="00453288"/>
    <w:rsid w:val="004A2887"/>
    <w:rsid w:val="005D1123"/>
    <w:rsid w:val="006A4BC5"/>
    <w:rsid w:val="00741338"/>
    <w:rsid w:val="00781ABF"/>
    <w:rsid w:val="008577D1"/>
    <w:rsid w:val="009743EC"/>
    <w:rsid w:val="00B51908"/>
    <w:rsid w:val="00B607F9"/>
    <w:rsid w:val="00B7702A"/>
    <w:rsid w:val="00C438F7"/>
    <w:rsid w:val="00C90FDE"/>
    <w:rsid w:val="00CA62CB"/>
    <w:rsid w:val="00CC0481"/>
    <w:rsid w:val="00CD3401"/>
    <w:rsid w:val="00D924F2"/>
    <w:rsid w:val="00DC04D1"/>
    <w:rsid w:val="00DD5F23"/>
    <w:rsid w:val="00E45178"/>
    <w:rsid w:val="00E465A9"/>
    <w:rsid w:val="00E5384A"/>
    <w:rsid w:val="00EB27FA"/>
    <w:rsid w:val="00EC7A17"/>
    <w:rsid w:val="00F57DB3"/>
    <w:rsid w:val="00FA04E5"/>
    <w:rsid w:val="00FA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4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4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7413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53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</dc:creator>
  <cp:lastModifiedBy>Seidl</cp:lastModifiedBy>
  <cp:revision>14</cp:revision>
  <cp:lastPrinted>2017-09-21T12:06:00Z</cp:lastPrinted>
  <dcterms:created xsi:type="dcterms:W3CDTF">2016-07-27T12:26:00Z</dcterms:created>
  <dcterms:modified xsi:type="dcterms:W3CDTF">2020-09-08T14:50:00Z</dcterms:modified>
</cp:coreProperties>
</file>